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39C" w:rsidRPr="00AD73D7" w:rsidRDefault="0087339C" w:rsidP="00AD73D7">
      <w:pPr>
        <w:spacing w:line="480" w:lineRule="auto"/>
        <w:rPr>
          <w:rFonts w:ascii="Times New Roman" w:hAnsi="Times New Roman" w:cs="Times New Roman"/>
          <w:sz w:val="24"/>
          <w:szCs w:val="24"/>
          <w:shd w:val="clear" w:color="auto" w:fill="FFFFFF"/>
        </w:rPr>
      </w:pPr>
      <w:bookmarkStart w:id="0" w:name="_GoBack"/>
      <w:bookmarkEnd w:id="0"/>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AB1596" w:rsidP="00AD73D7">
      <w:pPr>
        <w:spacing w:line="480" w:lineRule="auto"/>
        <w:jc w:val="center"/>
        <w:rPr>
          <w:rFonts w:ascii="Times New Roman" w:hAnsi="Times New Roman" w:cs="Times New Roman"/>
          <w:sz w:val="24"/>
          <w:szCs w:val="24"/>
        </w:rPr>
      </w:pPr>
      <w:r>
        <w:rPr>
          <w:rFonts w:ascii="Times New Roman" w:hAnsi="Times New Roman" w:cs="Times New Roman"/>
          <w:sz w:val="24"/>
          <w:szCs w:val="24"/>
        </w:rPr>
        <w:t>Solange Reading</w:t>
      </w:r>
    </w:p>
    <w:p w:rsidR="0087339C" w:rsidRPr="00AD73D7" w:rsidRDefault="008F1187" w:rsidP="00AD73D7">
      <w:pPr>
        <w:spacing w:line="480" w:lineRule="auto"/>
        <w:jc w:val="center"/>
        <w:rPr>
          <w:rFonts w:ascii="Times New Roman" w:hAnsi="Times New Roman" w:cs="Times New Roman"/>
          <w:sz w:val="24"/>
          <w:szCs w:val="24"/>
          <w:shd w:val="clear" w:color="auto" w:fill="FFFFFF"/>
        </w:rPr>
      </w:pPr>
      <w:r w:rsidRPr="00AD73D7">
        <w:rPr>
          <w:rFonts w:ascii="Times New Roman" w:hAnsi="Times New Roman" w:cs="Times New Roman"/>
          <w:sz w:val="24"/>
          <w:szCs w:val="24"/>
          <w:shd w:val="clear" w:color="auto" w:fill="FFFFFF"/>
        </w:rPr>
        <w:t>Student’s Name</w:t>
      </w:r>
    </w:p>
    <w:p w:rsidR="0087339C" w:rsidRPr="00AD73D7" w:rsidRDefault="008F1187" w:rsidP="00AD73D7">
      <w:pPr>
        <w:spacing w:line="480" w:lineRule="auto"/>
        <w:jc w:val="center"/>
        <w:rPr>
          <w:rFonts w:ascii="Times New Roman" w:hAnsi="Times New Roman" w:cs="Times New Roman"/>
          <w:sz w:val="24"/>
          <w:szCs w:val="24"/>
          <w:shd w:val="clear" w:color="auto" w:fill="FFFFFF"/>
        </w:rPr>
      </w:pPr>
      <w:r w:rsidRPr="00AD73D7">
        <w:rPr>
          <w:rFonts w:ascii="Times New Roman" w:hAnsi="Times New Roman" w:cs="Times New Roman"/>
          <w:sz w:val="24"/>
          <w:szCs w:val="24"/>
          <w:shd w:val="clear" w:color="auto" w:fill="FFFFFF"/>
        </w:rPr>
        <w:t>Instructor’s Name</w:t>
      </w:r>
    </w:p>
    <w:p w:rsidR="0087339C" w:rsidRPr="00AD73D7" w:rsidRDefault="008F1187" w:rsidP="00AD73D7">
      <w:pPr>
        <w:spacing w:line="480" w:lineRule="auto"/>
        <w:jc w:val="center"/>
        <w:rPr>
          <w:rFonts w:ascii="Times New Roman" w:hAnsi="Times New Roman" w:cs="Times New Roman"/>
          <w:sz w:val="24"/>
          <w:szCs w:val="24"/>
          <w:shd w:val="clear" w:color="auto" w:fill="FFFFFF"/>
        </w:rPr>
      </w:pPr>
      <w:r w:rsidRPr="00AD73D7">
        <w:rPr>
          <w:rFonts w:ascii="Times New Roman" w:hAnsi="Times New Roman" w:cs="Times New Roman"/>
          <w:sz w:val="24"/>
          <w:szCs w:val="24"/>
          <w:shd w:val="clear" w:color="auto" w:fill="FFFFFF"/>
        </w:rPr>
        <w:t>Institution</w:t>
      </w:r>
    </w:p>
    <w:p w:rsidR="0087339C" w:rsidRPr="00AD73D7" w:rsidRDefault="008F1187" w:rsidP="00AD73D7">
      <w:pPr>
        <w:spacing w:line="480" w:lineRule="auto"/>
        <w:jc w:val="center"/>
        <w:rPr>
          <w:rFonts w:ascii="Times New Roman" w:hAnsi="Times New Roman" w:cs="Times New Roman"/>
          <w:sz w:val="24"/>
          <w:szCs w:val="24"/>
          <w:shd w:val="clear" w:color="auto" w:fill="FFFFFF"/>
        </w:rPr>
      </w:pPr>
      <w:r w:rsidRPr="00AD73D7">
        <w:rPr>
          <w:rFonts w:ascii="Times New Roman" w:hAnsi="Times New Roman" w:cs="Times New Roman"/>
          <w:sz w:val="24"/>
          <w:szCs w:val="24"/>
          <w:shd w:val="clear" w:color="auto" w:fill="FFFFFF"/>
        </w:rPr>
        <w:t>Course</w:t>
      </w:r>
    </w:p>
    <w:p w:rsidR="0087339C" w:rsidRPr="00AD73D7" w:rsidRDefault="008F1187" w:rsidP="00AD73D7">
      <w:pPr>
        <w:spacing w:line="480" w:lineRule="auto"/>
        <w:jc w:val="center"/>
        <w:rPr>
          <w:rFonts w:ascii="Times New Roman" w:hAnsi="Times New Roman" w:cs="Times New Roman"/>
          <w:sz w:val="24"/>
          <w:szCs w:val="24"/>
          <w:shd w:val="clear" w:color="auto" w:fill="FFFFFF"/>
        </w:rPr>
      </w:pPr>
      <w:r w:rsidRPr="00AD73D7">
        <w:rPr>
          <w:rFonts w:ascii="Times New Roman" w:hAnsi="Times New Roman" w:cs="Times New Roman"/>
          <w:sz w:val="24"/>
          <w:szCs w:val="24"/>
          <w:shd w:val="clear" w:color="auto" w:fill="FFFFFF"/>
        </w:rPr>
        <w:t>Date</w:t>
      </w: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87339C" w:rsidRPr="00AD73D7" w:rsidRDefault="0087339C" w:rsidP="00AD73D7">
      <w:pPr>
        <w:spacing w:line="480" w:lineRule="auto"/>
        <w:rPr>
          <w:rFonts w:ascii="Times New Roman" w:hAnsi="Times New Roman" w:cs="Times New Roman"/>
          <w:sz w:val="24"/>
          <w:szCs w:val="24"/>
          <w:shd w:val="clear" w:color="auto" w:fill="FFFFFF"/>
        </w:rPr>
      </w:pPr>
    </w:p>
    <w:p w:rsidR="00770812" w:rsidRPr="00AD73D7" w:rsidRDefault="00770812" w:rsidP="00AD73D7">
      <w:pPr>
        <w:spacing w:line="480" w:lineRule="auto"/>
        <w:rPr>
          <w:rFonts w:ascii="Times New Roman" w:hAnsi="Times New Roman" w:cs="Times New Roman"/>
          <w:sz w:val="24"/>
          <w:szCs w:val="24"/>
          <w:shd w:val="clear" w:color="auto" w:fill="FFFFFF"/>
        </w:rPr>
      </w:pPr>
    </w:p>
    <w:p w:rsidR="00770812" w:rsidRPr="00AD73D7" w:rsidRDefault="00770812" w:rsidP="00AD73D7">
      <w:pPr>
        <w:spacing w:line="480" w:lineRule="auto"/>
        <w:rPr>
          <w:rFonts w:ascii="Times New Roman" w:hAnsi="Times New Roman" w:cs="Times New Roman"/>
          <w:sz w:val="24"/>
          <w:szCs w:val="24"/>
          <w:shd w:val="clear" w:color="auto" w:fill="FFFFFF"/>
        </w:rPr>
      </w:pPr>
    </w:p>
    <w:p w:rsidR="00770812" w:rsidRPr="00AD73D7" w:rsidRDefault="008F1187" w:rsidP="00AD73D7">
      <w:pPr>
        <w:spacing w:line="480" w:lineRule="auto"/>
        <w:jc w:val="center"/>
        <w:rPr>
          <w:rFonts w:ascii="Times New Roman" w:hAnsi="Times New Roman" w:cs="Times New Roman"/>
          <w:sz w:val="24"/>
          <w:szCs w:val="24"/>
        </w:rPr>
      </w:pPr>
      <w:r w:rsidRPr="00AD73D7">
        <w:rPr>
          <w:rFonts w:ascii="Times New Roman" w:hAnsi="Times New Roman" w:cs="Times New Roman"/>
          <w:sz w:val="24"/>
          <w:szCs w:val="24"/>
        </w:rPr>
        <w:lastRenderedPageBreak/>
        <w:t>Psychology</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(1)</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The phrase infant is applied in referring</w:t>
      </w:r>
      <w:r w:rsidR="00C15D95" w:rsidRPr="00AD73D7">
        <w:rPr>
          <w:rFonts w:ascii="Times New Roman" w:hAnsi="Times New Roman" w:cs="Times New Roman"/>
          <w:sz w:val="24"/>
          <w:szCs w:val="24"/>
        </w:rPr>
        <w:t xml:space="preserve"> to</w:t>
      </w:r>
      <w:r w:rsidRPr="00AD73D7">
        <w:rPr>
          <w:rFonts w:ascii="Times New Roman" w:hAnsi="Times New Roman" w:cs="Times New Roman"/>
          <w:sz w:val="24"/>
          <w:szCs w:val="24"/>
        </w:rPr>
        <w:t xml:space="preserve"> children under the age of one year. Nevertheless, definitions might vary from one person to another and, in some cases, might include children up to two years of age. When a child g</w:t>
      </w:r>
      <w:r w:rsidR="00C15D95" w:rsidRPr="00AD73D7">
        <w:rPr>
          <w:rFonts w:ascii="Times New Roman" w:hAnsi="Times New Roman" w:cs="Times New Roman"/>
          <w:sz w:val="24"/>
          <w:szCs w:val="24"/>
        </w:rPr>
        <w:t>rows and starts to walk, he</w:t>
      </w:r>
      <w:r w:rsidRPr="00AD73D7">
        <w:rPr>
          <w:rFonts w:ascii="Times New Roman" w:hAnsi="Times New Roman" w:cs="Times New Roman"/>
          <w:sz w:val="24"/>
          <w:szCs w:val="24"/>
        </w:rPr>
        <w:t xml:space="preserve"> might be referred to as a toddler. Growth co</w:t>
      </w:r>
      <w:r w:rsidR="00C15D95" w:rsidRPr="00AD73D7">
        <w:rPr>
          <w:rFonts w:ascii="Times New Roman" w:hAnsi="Times New Roman" w:cs="Times New Roman"/>
          <w:sz w:val="24"/>
          <w:szCs w:val="24"/>
        </w:rPr>
        <w:t>mes with different changes for the</w:t>
      </w:r>
      <w:r w:rsidRPr="00AD73D7">
        <w:rPr>
          <w:rFonts w:ascii="Times New Roman" w:hAnsi="Times New Roman" w:cs="Times New Roman"/>
          <w:sz w:val="24"/>
          <w:szCs w:val="24"/>
        </w:rPr>
        <w:t xml:space="preserve"> child in both the size and weight of the body. During the first two years of age, growth is very rapid for the child. Physical growth is high, with different aspects of the child changing. An infant birth weight generally doubles by the first six months of birth, and by the first birthday, the </w:t>
      </w:r>
      <w:r w:rsidR="00037F53" w:rsidRPr="00AD73D7">
        <w:rPr>
          <w:rFonts w:ascii="Times New Roman" w:hAnsi="Times New Roman" w:cs="Times New Roman"/>
          <w:sz w:val="24"/>
          <w:szCs w:val="24"/>
        </w:rPr>
        <w:t>weight</w:t>
      </w:r>
      <w:r w:rsidRPr="00AD73D7">
        <w:rPr>
          <w:rFonts w:ascii="Times New Roman" w:hAnsi="Times New Roman" w:cs="Times New Roman"/>
          <w:sz w:val="24"/>
          <w:szCs w:val="24"/>
        </w:rPr>
        <w:t xml:space="preserve"> almost triples (</w:t>
      </w:r>
      <w:r w:rsidRPr="00AD73D7">
        <w:rPr>
          <w:rFonts w:ascii="Times New Roman" w:hAnsi="Times New Roman" w:cs="Times New Roman"/>
          <w:color w:val="222222"/>
          <w:sz w:val="24"/>
          <w:szCs w:val="24"/>
          <w:shd w:val="clear" w:color="auto" w:fill="FFFFFF"/>
        </w:rPr>
        <w:t>Goodway, Ozmun &amp; Gallahue, 2019)</w:t>
      </w:r>
      <w:r w:rsidRPr="00AD73D7">
        <w:rPr>
          <w:rFonts w:ascii="Times New Roman" w:hAnsi="Times New Roman" w:cs="Times New Roman"/>
          <w:sz w:val="24"/>
          <w:szCs w:val="24"/>
        </w:rPr>
        <w:t>. On the other hand, after birth, a child grows between 10 and 12 inches in height or length. After delivery to the first two years of age, the changes are proportional.</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(2)</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 xml:space="preserve">Early brain improvement and development is significant for later baby development and health. All through childhood, an infant's brain grows well where it reaches </w:t>
      </w:r>
      <w:r w:rsidR="001C3813" w:rsidRPr="00AD73D7">
        <w:rPr>
          <w:rFonts w:ascii="Times New Roman" w:hAnsi="Times New Roman" w:cs="Times New Roman"/>
          <w:sz w:val="24"/>
          <w:szCs w:val="24"/>
        </w:rPr>
        <w:t>its</w:t>
      </w:r>
      <w:r w:rsidRPr="00AD73D7">
        <w:rPr>
          <w:rFonts w:ascii="Times New Roman" w:hAnsi="Times New Roman" w:cs="Times New Roman"/>
          <w:sz w:val="24"/>
          <w:szCs w:val="24"/>
        </w:rPr>
        <w:t xml:space="preserve"> full </w:t>
      </w:r>
      <w:r w:rsidR="001C3813" w:rsidRPr="00AD73D7">
        <w:rPr>
          <w:rFonts w:ascii="Times New Roman" w:hAnsi="Times New Roman" w:cs="Times New Roman"/>
          <w:sz w:val="24"/>
          <w:szCs w:val="24"/>
        </w:rPr>
        <w:t xml:space="preserve">development </w:t>
      </w:r>
      <w:r w:rsidRPr="00AD73D7">
        <w:rPr>
          <w:rFonts w:ascii="Times New Roman" w:hAnsi="Times New Roman" w:cs="Times New Roman"/>
          <w:sz w:val="24"/>
          <w:szCs w:val="24"/>
        </w:rPr>
        <w:t>before they grow to adulthood. Significant concepts that determine the infant's progress in physical development in toddlerhood and infancy include brain and material changes. Brain development is substant</w:t>
      </w:r>
      <w:r w:rsidR="00066356" w:rsidRPr="00AD73D7">
        <w:rPr>
          <w:rFonts w:ascii="Times New Roman" w:hAnsi="Times New Roman" w:cs="Times New Roman"/>
          <w:sz w:val="24"/>
          <w:szCs w:val="24"/>
        </w:rPr>
        <w:t xml:space="preserve">ial in all matters and is important </w:t>
      </w:r>
      <w:r w:rsidRPr="00AD73D7">
        <w:rPr>
          <w:rFonts w:ascii="Times New Roman" w:hAnsi="Times New Roman" w:cs="Times New Roman"/>
          <w:sz w:val="24"/>
          <w:szCs w:val="24"/>
        </w:rPr>
        <w:t xml:space="preserve">for the development of motor skills, development of flexes, sensations, learning skills, and perceptions, and health issues. On an infant's event, the first four weeks of development are known as neonatal periods Arnett </w:t>
      </w:r>
      <w:r w:rsidRPr="00AD73D7">
        <w:rPr>
          <w:rFonts w:ascii="Times New Roman" w:hAnsi="Times New Roman" w:cs="Times New Roman"/>
          <w:i/>
          <w:sz w:val="24"/>
          <w:szCs w:val="24"/>
        </w:rPr>
        <w:t>et al.,</w:t>
      </w:r>
      <w:r w:rsidRPr="00AD73D7">
        <w:rPr>
          <w:rFonts w:ascii="Times New Roman" w:hAnsi="Times New Roman" w:cs="Times New Roman"/>
          <w:sz w:val="24"/>
          <w:szCs w:val="24"/>
        </w:rPr>
        <w:t xml:space="preserve"> (2020). At utero, an infant's brain develops faster. An infant is born with all significant nerve cells which they will ever have. Specifically, brain development is rapid in the third trimester. </w:t>
      </w:r>
      <w:r w:rsidRPr="00AD73D7">
        <w:rPr>
          <w:rFonts w:ascii="Times New Roman" w:hAnsi="Times New Roman" w:cs="Times New Roman"/>
          <w:sz w:val="24"/>
          <w:szCs w:val="24"/>
        </w:rPr>
        <w:lastRenderedPageBreak/>
        <w:t>Nevertheless, after birth, the neural associations must form for the newborn to talk, walk, and remember ultimately.</w:t>
      </w:r>
      <w:r w:rsidR="00510CA3">
        <w:rPr>
          <w:rFonts w:ascii="Times New Roman" w:hAnsi="Times New Roman" w:cs="Times New Roman"/>
          <w:sz w:val="24"/>
          <w:szCs w:val="24"/>
        </w:rPr>
        <w:t xml:space="preserve"> </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(3)</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 xml:space="preserve"> Perception and sensation are two significant and separate methods that are very close and related. The feeling is referred as the input concerning the physical world got through sensory receives, while perception is the process through which the brain organizes, selects, and interprets the sensations. This is to means that those senses are the basis of physiological understanding. The perception of the same thoughts might vary from different people (</w:t>
      </w:r>
      <w:r w:rsidRPr="00AD73D7">
        <w:rPr>
          <w:rFonts w:ascii="Times New Roman" w:hAnsi="Times New Roman" w:cs="Times New Roman"/>
          <w:color w:val="222222"/>
          <w:sz w:val="24"/>
          <w:szCs w:val="24"/>
          <w:shd w:val="clear" w:color="auto" w:fill="FFFFFF"/>
        </w:rPr>
        <w:t>Goldstein &amp; Brockmole, 2016)</w:t>
      </w:r>
      <w:r w:rsidRPr="00AD73D7">
        <w:rPr>
          <w:rFonts w:ascii="Times New Roman" w:hAnsi="Times New Roman" w:cs="Times New Roman"/>
          <w:sz w:val="24"/>
          <w:szCs w:val="24"/>
        </w:rPr>
        <w:t>.  Each person's brain understands and interprets stimuli differently based on the person's memory, learning, expectations, and emotions.   From this, the sensation can be referred to as the process used by animals and people in sensing the environment through test, touch, smell, sound, and sight. The information conceived from this communicated to the raw brain form where perception acts. From this, knowledge is termed as manner at which people interpret sensations making sense of everything around them.</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(4)</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Hearing, sight, smell, touch, and taste are the senses of a newborn. Infants are born while fully equipped with critical reasons in their development (</w:t>
      </w:r>
      <w:r w:rsidRPr="00AD73D7">
        <w:rPr>
          <w:rFonts w:ascii="Times New Roman" w:hAnsi="Times New Roman" w:cs="Times New Roman"/>
          <w:color w:val="222222"/>
          <w:sz w:val="24"/>
          <w:szCs w:val="24"/>
          <w:shd w:val="clear" w:color="auto" w:fill="FFFFFF"/>
        </w:rPr>
        <w:t>AKSOY &amp; BURSA, 2018)</w:t>
      </w:r>
      <w:r w:rsidRPr="00AD73D7">
        <w:rPr>
          <w:rFonts w:ascii="Times New Roman" w:hAnsi="Times New Roman" w:cs="Times New Roman"/>
          <w:sz w:val="24"/>
          <w:szCs w:val="24"/>
        </w:rPr>
        <w:t>. After birth, babies can track and follow an object within the first few weeks of growth. Focus on infants improves within the first two to three years of life to the standard 20/20 visions.</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(5)</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lastRenderedPageBreak/>
        <w:tab/>
        <w:t>In child development, nurture and nature are two different things that play a significant influence in the presence of an individual. Many types of research and psychologists have collective agreements that both concepts play essential responsibilities in the lives of people. This means that the initial development of human life is faster and effective through nurture than what is got through nature. The debate of nature and nurture is one of the oldest issues in the field of psychology. The discussion revolves around the contribution each creates to environmental factors and genetic inheritance towards human development. The genetic taints got from parents influence people differently and therefore make each person unique.</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(6)</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There are five different aspects of personality in human growth. The five various elements of personality include agreeableness, extraversion, openness, neuroticism, and conscientiousness. Some researchers have, in recent times, written about other aspects of personality development, but the five have remained the key in human development. Personality development is the development of different organized behaviors that make a person distinctive. During growth, personality development happens through ongoing interaction of characters, temperament, and environment.</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(7)</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 xml:space="preserve">According to </w:t>
      </w:r>
      <w:r w:rsidRPr="00AD73D7">
        <w:rPr>
          <w:rFonts w:ascii="Times New Roman" w:hAnsi="Times New Roman" w:cs="Times New Roman"/>
          <w:color w:val="222222"/>
          <w:sz w:val="24"/>
          <w:szCs w:val="24"/>
          <w:shd w:val="clear" w:color="auto" w:fill="FFFFFF"/>
        </w:rPr>
        <w:t xml:space="preserve">Bowlby (1958), </w:t>
      </w:r>
      <w:r w:rsidRPr="00AD73D7">
        <w:rPr>
          <w:rFonts w:ascii="Times New Roman" w:hAnsi="Times New Roman" w:cs="Times New Roman"/>
          <w:sz w:val="24"/>
          <w:szCs w:val="24"/>
        </w:rPr>
        <w:t>the attachment is defined as the lasting psychological connectedness within human beings. As he puts it in his explanation, the enclosure is understood between an evolutional context in which a caregiver provides security and safety for the infant. Attachment is adaptive and enhances children's chances of survival.</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(8)</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lastRenderedPageBreak/>
        <w:tab/>
        <w:t xml:space="preserve">Parenting or </w:t>
      </w:r>
      <w:r w:rsidR="00AD73D7" w:rsidRPr="00AD73D7">
        <w:rPr>
          <w:rFonts w:ascii="Times New Roman" w:hAnsi="Times New Roman" w:cs="Times New Roman"/>
          <w:sz w:val="24"/>
          <w:szCs w:val="24"/>
        </w:rPr>
        <w:t>care giving</w:t>
      </w:r>
      <w:r w:rsidRPr="00AD73D7">
        <w:rPr>
          <w:rFonts w:ascii="Times New Roman" w:hAnsi="Times New Roman" w:cs="Times New Roman"/>
          <w:sz w:val="24"/>
          <w:szCs w:val="24"/>
        </w:rPr>
        <w:t xml:space="preserve"> style has a significant effect on how a kid develops into adulthood. There are substantial implications for future success concerning the kid. Study shows that as teenagers, children of dictating parents might lack some critical communication and social communication skills necessary for leadership.</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(9)</w:t>
      </w:r>
    </w:p>
    <w:p w:rsidR="00770812"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sz w:val="24"/>
          <w:szCs w:val="24"/>
        </w:rPr>
        <w:tab/>
        <w:t>Reading books to a child, either loud or cold, to children effectively stimulates their young imagination skills and effectively expands their world's understanding. Reading helps children great listening and language skills hence preparing them to understand the written word effectively. Even children learning how to read, teachers need to read louder for them and together.</w:t>
      </w: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AD73D7" w:rsidRDefault="00AD73D7" w:rsidP="00AD73D7">
      <w:pPr>
        <w:spacing w:line="480" w:lineRule="auto"/>
        <w:jc w:val="center"/>
        <w:rPr>
          <w:rFonts w:ascii="Times New Roman" w:hAnsi="Times New Roman" w:cs="Times New Roman"/>
          <w:sz w:val="24"/>
          <w:szCs w:val="24"/>
        </w:rPr>
      </w:pPr>
    </w:p>
    <w:p w:rsidR="00B6653F" w:rsidRPr="00AD73D7" w:rsidRDefault="008F1187" w:rsidP="00AD73D7">
      <w:pPr>
        <w:spacing w:line="480" w:lineRule="auto"/>
        <w:jc w:val="center"/>
        <w:rPr>
          <w:rFonts w:ascii="Times New Roman" w:hAnsi="Times New Roman" w:cs="Times New Roman"/>
          <w:sz w:val="24"/>
          <w:szCs w:val="24"/>
        </w:rPr>
      </w:pPr>
      <w:r w:rsidRPr="00AD73D7">
        <w:rPr>
          <w:rFonts w:ascii="Times New Roman" w:hAnsi="Times New Roman" w:cs="Times New Roman"/>
          <w:sz w:val="24"/>
          <w:szCs w:val="24"/>
        </w:rPr>
        <w:lastRenderedPageBreak/>
        <w:t>References</w:t>
      </w:r>
    </w:p>
    <w:p w:rsidR="00B6653F" w:rsidRPr="00AD73D7" w:rsidRDefault="008F1187" w:rsidP="00AD73D7">
      <w:pPr>
        <w:spacing w:line="480" w:lineRule="auto"/>
        <w:rPr>
          <w:rFonts w:ascii="Times New Roman" w:hAnsi="Times New Roman" w:cs="Times New Roman"/>
          <w:sz w:val="24"/>
          <w:szCs w:val="24"/>
        </w:rPr>
      </w:pPr>
      <w:r w:rsidRPr="00AD73D7">
        <w:rPr>
          <w:rFonts w:ascii="Times New Roman" w:hAnsi="Times New Roman" w:cs="Times New Roman"/>
          <w:color w:val="222222"/>
          <w:sz w:val="24"/>
          <w:szCs w:val="24"/>
          <w:shd w:val="clear" w:color="auto" w:fill="FFFFFF"/>
        </w:rPr>
        <w:t>AKSOY, A. B., &amp; BURSA, G. Y. (2018). Sensory Development during Infancy. </w:t>
      </w:r>
      <w:r w:rsidRPr="00AD73D7">
        <w:rPr>
          <w:rFonts w:ascii="Times New Roman" w:hAnsi="Times New Roman" w:cs="Times New Roman"/>
          <w:i/>
          <w:iCs/>
          <w:color w:val="222222"/>
          <w:sz w:val="24"/>
          <w:szCs w:val="24"/>
          <w:shd w:val="clear" w:color="auto" w:fill="FFFFFF"/>
        </w:rPr>
        <w:t xml:space="preserve">Educational </w:t>
      </w:r>
      <w:r w:rsid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 xml:space="preserve">Sciences Research in </w:t>
      </w:r>
      <w:r w:rsidR="00AD73D7" w:rsidRP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the Globalizing World</w:t>
      </w:r>
      <w:r w:rsidRPr="00AD73D7">
        <w:rPr>
          <w:rFonts w:ascii="Times New Roman" w:hAnsi="Times New Roman" w:cs="Times New Roman"/>
          <w:color w:val="222222"/>
          <w:sz w:val="24"/>
          <w:szCs w:val="24"/>
          <w:shd w:val="clear" w:color="auto" w:fill="FFFFFF"/>
        </w:rPr>
        <w:t>, 475.</w:t>
      </w:r>
    </w:p>
    <w:p w:rsidR="00B6653F" w:rsidRPr="00AD73D7" w:rsidRDefault="008F1187" w:rsidP="00AD73D7">
      <w:pPr>
        <w:spacing w:line="480" w:lineRule="auto"/>
        <w:rPr>
          <w:rFonts w:ascii="Times New Roman" w:hAnsi="Times New Roman" w:cs="Times New Roman"/>
          <w:color w:val="222222"/>
          <w:sz w:val="24"/>
          <w:szCs w:val="24"/>
          <w:shd w:val="clear" w:color="auto" w:fill="FFFFFF"/>
        </w:rPr>
      </w:pPr>
      <w:r w:rsidRPr="00AD73D7">
        <w:rPr>
          <w:rFonts w:ascii="Times New Roman" w:hAnsi="Times New Roman" w:cs="Times New Roman"/>
          <w:color w:val="222222"/>
          <w:sz w:val="24"/>
          <w:szCs w:val="24"/>
          <w:shd w:val="clear" w:color="auto" w:fill="FFFFFF"/>
        </w:rPr>
        <w:t>Arnett, J., Maynard, A. E., Brownlow, C., Chapin, L., &amp; Machin, T. (2020). </w:t>
      </w:r>
      <w:r w:rsidRPr="00AD73D7">
        <w:rPr>
          <w:rFonts w:ascii="Times New Roman" w:hAnsi="Times New Roman" w:cs="Times New Roman"/>
          <w:i/>
          <w:iCs/>
          <w:color w:val="222222"/>
          <w:sz w:val="24"/>
          <w:szCs w:val="24"/>
          <w:shd w:val="clear" w:color="auto" w:fill="FFFFFF"/>
        </w:rPr>
        <w:t xml:space="preserve">Child development </w:t>
      </w:r>
      <w:r w:rsid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 xml:space="preserve">as a cultural </w:t>
      </w:r>
      <w:r w:rsidR="00AD73D7" w:rsidRP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approach</w:t>
      </w:r>
      <w:r w:rsidRPr="00AD73D7">
        <w:rPr>
          <w:rFonts w:ascii="Times New Roman" w:hAnsi="Times New Roman" w:cs="Times New Roman"/>
          <w:color w:val="222222"/>
          <w:sz w:val="24"/>
          <w:szCs w:val="24"/>
          <w:shd w:val="clear" w:color="auto" w:fill="FFFFFF"/>
        </w:rPr>
        <w:t>. Pearson Australia.</w:t>
      </w:r>
    </w:p>
    <w:p w:rsidR="00B6653F" w:rsidRPr="00AD73D7" w:rsidRDefault="008F1187" w:rsidP="00AD73D7">
      <w:pPr>
        <w:spacing w:line="480" w:lineRule="auto"/>
        <w:rPr>
          <w:rFonts w:ascii="Times New Roman" w:hAnsi="Times New Roman" w:cs="Times New Roman"/>
          <w:sz w:val="24"/>
          <w:szCs w:val="24"/>
          <w:shd w:val="clear" w:color="auto" w:fill="FFFFFF"/>
        </w:rPr>
      </w:pPr>
      <w:r w:rsidRPr="00AD73D7">
        <w:rPr>
          <w:rFonts w:ascii="Times New Roman" w:hAnsi="Times New Roman" w:cs="Times New Roman"/>
          <w:color w:val="222222"/>
          <w:sz w:val="24"/>
          <w:szCs w:val="24"/>
          <w:shd w:val="clear" w:color="auto" w:fill="FFFFFF"/>
        </w:rPr>
        <w:t>Bowlby, J. (1958). The nature of the child's tie to his mother. </w:t>
      </w:r>
      <w:r w:rsidRPr="00AD73D7">
        <w:rPr>
          <w:rFonts w:ascii="Times New Roman" w:hAnsi="Times New Roman" w:cs="Times New Roman"/>
          <w:i/>
          <w:iCs/>
          <w:color w:val="222222"/>
          <w:sz w:val="24"/>
          <w:szCs w:val="24"/>
          <w:shd w:val="clear" w:color="auto" w:fill="FFFFFF"/>
        </w:rPr>
        <w:t>International journal of psycho-</w:t>
      </w:r>
      <w:r w:rsid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analysis</w:t>
      </w:r>
      <w:r w:rsidRPr="00AD73D7">
        <w:rPr>
          <w:rFonts w:ascii="Times New Roman" w:hAnsi="Times New Roman" w:cs="Times New Roman"/>
          <w:color w:val="222222"/>
          <w:sz w:val="24"/>
          <w:szCs w:val="24"/>
          <w:shd w:val="clear" w:color="auto" w:fill="FFFFFF"/>
        </w:rPr>
        <w:t>, </w:t>
      </w:r>
      <w:r w:rsidRPr="00AD73D7">
        <w:rPr>
          <w:rFonts w:ascii="Times New Roman" w:hAnsi="Times New Roman" w:cs="Times New Roman"/>
          <w:i/>
          <w:iCs/>
          <w:color w:val="222222"/>
          <w:sz w:val="24"/>
          <w:szCs w:val="24"/>
          <w:shd w:val="clear" w:color="auto" w:fill="FFFFFF"/>
        </w:rPr>
        <w:t>39</w:t>
      </w:r>
      <w:r w:rsidRPr="00AD73D7">
        <w:rPr>
          <w:rFonts w:ascii="Times New Roman" w:hAnsi="Times New Roman" w:cs="Times New Roman"/>
          <w:color w:val="222222"/>
          <w:sz w:val="24"/>
          <w:szCs w:val="24"/>
          <w:shd w:val="clear" w:color="auto" w:fill="FFFFFF"/>
        </w:rPr>
        <w:t>, 350-373.</w:t>
      </w:r>
    </w:p>
    <w:p w:rsidR="00B6653F" w:rsidRPr="00AD73D7" w:rsidRDefault="008F1187" w:rsidP="00AD73D7">
      <w:pPr>
        <w:spacing w:line="480" w:lineRule="auto"/>
        <w:rPr>
          <w:rFonts w:ascii="Times New Roman" w:hAnsi="Times New Roman" w:cs="Times New Roman"/>
          <w:color w:val="222222"/>
          <w:sz w:val="24"/>
          <w:szCs w:val="24"/>
          <w:shd w:val="clear" w:color="auto" w:fill="FFFFFF"/>
        </w:rPr>
      </w:pPr>
      <w:r w:rsidRPr="00AD73D7">
        <w:rPr>
          <w:rFonts w:ascii="Times New Roman" w:hAnsi="Times New Roman" w:cs="Times New Roman"/>
          <w:color w:val="222222"/>
          <w:sz w:val="24"/>
          <w:szCs w:val="24"/>
          <w:shd w:val="clear" w:color="auto" w:fill="FFFFFF"/>
        </w:rPr>
        <w:t>Goldstein, E. B., &amp; Brockmole, J. (2016). </w:t>
      </w:r>
      <w:r w:rsidRPr="00AD73D7">
        <w:rPr>
          <w:rFonts w:ascii="Times New Roman" w:hAnsi="Times New Roman" w:cs="Times New Roman"/>
          <w:i/>
          <w:iCs/>
          <w:color w:val="222222"/>
          <w:sz w:val="24"/>
          <w:szCs w:val="24"/>
          <w:shd w:val="clear" w:color="auto" w:fill="FFFFFF"/>
        </w:rPr>
        <w:t>Sensation and perception</w:t>
      </w:r>
      <w:r w:rsidRPr="00AD73D7">
        <w:rPr>
          <w:rFonts w:ascii="Times New Roman" w:hAnsi="Times New Roman" w:cs="Times New Roman"/>
          <w:color w:val="222222"/>
          <w:sz w:val="24"/>
          <w:szCs w:val="24"/>
          <w:shd w:val="clear" w:color="auto" w:fill="FFFFFF"/>
        </w:rPr>
        <w:t>. Cengage Learning.</w:t>
      </w:r>
    </w:p>
    <w:p w:rsidR="00B6653F" w:rsidRPr="00AD73D7" w:rsidRDefault="008F1187" w:rsidP="00AD73D7">
      <w:pPr>
        <w:spacing w:line="480" w:lineRule="auto"/>
        <w:rPr>
          <w:rFonts w:ascii="Times New Roman" w:hAnsi="Times New Roman" w:cs="Times New Roman"/>
          <w:color w:val="222222"/>
          <w:sz w:val="24"/>
          <w:szCs w:val="24"/>
          <w:shd w:val="clear" w:color="auto" w:fill="FFFFFF"/>
        </w:rPr>
      </w:pPr>
      <w:r w:rsidRPr="00AD73D7">
        <w:rPr>
          <w:rFonts w:ascii="Times New Roman" w:hAnsi="Times New Roman" w:cs="Times New Roman"/>
          <w:color w:val="222222"/>
          <w:sz w:val="24"/>
          <w:szCs w:val="24"/>
          <w:shd w:val="clear" w:color="auto" w:fill="FFFFFF"/>
        </w:rPr>
        <w:t>Goodway, J. D., Ozmun, J. C., &amp; Gallahue, D. L. (2019). </w:t>
      </w:r>
      <w:r w:rsidRPr="00AD73D7">
        <w:rPr>
          <w:rFonts w:ascii="Times New Roman" w:hAnsi="Times New Roman" w:cs="Times New Roman"/>
          <w:i/>
          <w:iCs/>
          <w:color w:val="222222"/>
          <w:sz w:val="24"/>
          <w:szCs w:val="24"/>
          <w:shd w:val="clear" w:color="auto" w:fill="FFFFFF"/>
        </w:rPr>
        <w:t xml:space="preserve">Understanding motor development: </w:t>
      </w:r>
      <w:r w:rsidR="00AD73D7">
        <w:rPr>
          <w:rFonts w:ascii="Times New Roman" w:hAnsi="Times New Roman" w:cs="Times New Roman"/>
          <w:i/>
          <w:iCs/>
          <w:color w:val="222222"/>
          <w:sz w:val="24"/>
          <w:szCs w:val="24"/>
          <w:shd w:val="clear" w:color="auto" w:fill="FFFFFF"/>
        </w:rPr>
        <w:tab/>
      </w:r>
      <w:r w:rsidRPr="00AD73D7">
        <w:rPr>
          <w:rFonts w:ascii="Times New Roman" w:hAnsi="Times New Roman" w:cs="Times New Roman"/>
          <w:i/>
          <w:iCs/>
          <w:color w:val="222222"/>
          <w:sz w:val="24"/>
          <w:szCs w:val="24"/>
          <w:shd w:val="clear" w:color="auto" w:fill="FFFFFF"/>
        </w:rPr>
        <w:t>Infants, children, adolescents, adults</w:t>
      </w:r>
      <w:r w:rsidRPr="00AD73D7">
        <w:rPr>
          <w:rFonts w:ascii="Times New Roman" w:hAnsi="Times New Roman" w:cs="Times New Roman"/>
          <w:color w:val="222222"/>
          <w:sz w:val="24"/>
          <w:szCs w:val="24"/>
          <w:shd w:val="clear" w:color="auto" w:fill="FFFFFF"/>
        </w:rPr>
        <w:t>. Jones &amp; Bartlett Learning.</w:t>
      </w:r>
    </w:p>
    <w:sectPr w:rsidR="00B6653F" w:rsidRPr="00AD73D7" w:rsidSect="008733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D05" w:rsidRDefault="00D24D05" w:rsidP="00F6141A">
      <w:pPr>
        <w:spacing w:after="0" w:line="240" w:lineRule="auto"/>
      </w:pPr>
      <w:r>
        <w:separator/>
      </w:r>
    </w:p>
  </w:endnote>
  <w:endnote w:type="continuationSeparator" w:id="0">
    <w:p w:rsidR="00D24D05" w:rsidRDefault="00D24D05" w:rsidP="00F6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62F" w:rsidRDefault="00376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62F" w:rsidRDefault="00376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62F" w:rsidRDefault="00376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D05" w:rsidRDefault="00D24D05" w:rsidP="00F6141A">
      <w:pPr>
        <w:spacing w:after="0" w:line="240" w:lineRule="auto"/>
      </w:pPr>
      <w:r>
        <w:separator/>
      </w:r>
    </w:p>
  </w:footnote>
  <w:footnote w:type="continuationSeparator" w:id="0">
    <w:p w:rsidR="00D24D05" w:rsidRDefault="00D24D05" w:rsidP="00F61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62F" w:rsidRDefault="00376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9C" w:rsidRPr="0037662F" w:rsidRDefault="0037662F" w:rsidP="0037662F">
    <w:pPr>
      <w:pStyle w:val="Header"/>
    </w:pPr>
    <w:r>
      <w:rPr>
        <w:rFonts w:ascii="Times New Roman" w:hAnsi="Times New Roman" w:cs="Times New Roman"/>
        <w:sz w:val="24"/>
        <w:szCs w:val="24"/>
      </w:rPr>
      <w:t>SOLANGE READING</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717048"/>
        <w:docPartObj>
          <w:docPartGallery w:val="Page Numbers (Top of Page)"/>
          <w:docPartUnique/>
        </w:docPartObj>
      </w:sdtPr>
      <w:sdtEndPr/>
      <w:sdtContent>
        <w:r w:rsidRPr="0087339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Pr="0087339C">
          <w:rPr>
            <w:rFonts w:ascii="Times New Roman" w:hAnsi="Times New Roman" w:cs="Times New Roman"/>
            <w:sz w:val="24"/>
            <w:szCs w:val="24"/>
          </w:rPr>
          <w:fldChar w:fldCharType="separate"/>
        </w:r>
        <w:r w:rsidR="00EA387A">
          <w:rPr>
            <w:rFonts w:ascii="Times New Roman" w:hAnsi="Times New Roman" w:cs="Times New Roman"/>
            <w:noProof/>
            <w:sz w:val="24"/>
            <w:szCs w:val="24"/>
          </w:rPr>
          <w:t>5</w:t>
        </w:r>
        <w:r w:rsidRPr="0087339C">
          <w:rPr>
            <w:rFonts w:ascii="Times New Roman" w:hAnsi="Times New Roman" w:cs="Times New Roman"/>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9C" w:rsidRPr="0087339C" w:rsidRDefault="008F1187" w:rsidP="0087339C">
    <w:pPr>
      <w:pStyle w:val="Header"/>
      <w:jc w:val="right"/>
      <w:rPr>
        <w:rFonts w:ascii="Times New Roman" w:hAnsi="Times New Roman" w:cs="Times New Roman"/>
        <w:sz w:val="24"/>
        <w:szCs w:val="24"/>
      </w:rPr>
    </w:pPr>
    <w:r w:rsidRPr="0087339C">
      <w:rPr>
        <w:rFonts w:ascii="Times New Roman" w:hAnsi="Times New Roman" w:cs="Times New Roman"/>
        <w:sz w:val="24"/>
        <w:szCs w:val="24"/>
      </w:rPr>
      <w:t xml:space="preserve">Running head: </w:t>
    </w:r>
    <w:r w:rsidR="0037662F">
      <w:rPr>
        <w:rFonts w:ascii="Times New Roman" w:hAnsi="Times New Roman" w:cs="Times New Roman"/>
        <w:sz w:val="24"/>
        <w:szCs w:val="24"/>
      </w:rPr>
      <w:t>SOLANGE READING</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2518922"/>
        <w:docPartObj>
          <w:docPartGallery w:val="Page Numbers (Top of Page)"/>
          <w:docPartUnique/>
        </w:docPartObj>
      </w:sdtPr>
      <w:sdtEndPr/>
      <w:sdtContent>
        <w:r w:rsidR="00F6141A" w:rsidRPr="0087339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00F6141A" w:rsidRPr="0087339C">
          <w:rPr>
            <w:rFonts w:ascii="Times New Roman" w:hAnsi="Times New Roman" w:cs="Times New Roman"/>
            <w:sz w:val="24"/>
            <w:szCs w:val="24"/>
          </w:rPr>
          <w:fldChar w:fldCharType="separate"/>
        </w:r>
        <w:r w:rsidR="00EA387A">
          <w:rPr>
            <w:rFonts w:ascii="Times New Roman" w:hAnsi="Times New Roman" w:cs="Times New Roman"/>
            <w:noProof/>
            <w:sz w:val="24"/>
            <w:szCs w:val="24"/>
          </w:rPr>
          <w:t>1</w:t>
        </w:r>
        <w:r w:rsidR="00F6141A" w:rsidRPr="0087339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37F53"/>
    <w:rsid w:val="00066356"/>
    <w:rsid w:val="00091C19"/>
    <w:rsid w:val="000B35DB"/>
    <w:rsid w:val="000F2FAF"/>
    <w:rsid w:val="00123D76"/>
    <w:rsid w:val="00153583"/>
    <w:rsid w:val="00170BD4"/>
    <w:rsid w:val="001B7783"/>
    <w:rsid w:val="001C3813"/>
    <w:rsid w:val="002A2F77"/>
    <w:rsid w:val="002B1D90"/>
    <w:rsid w:val="0037662F"/>
    <w:rsid w:val="00377898"/>
    <w:rsid w:val="003927D0"/>
    <w:rsid w:val="003F0ECC"/>
    <w:rsid w:val="0041658E"/>
    <w:rsid w:val="00480A32"/>
    <w:rsid w:val="004D2387"/>
    <w:rsid w:val="00510CA3"/>
    <w:rsid w:val="005D1232"/>
    <w:rsid w:val="0061152F"/>
    <w:rsid w:val="006C0312"/>
    <w:rsid w:val="00700287"/>
    <w:rsid w:val="00764E8B"/>
    <w:rsid w:val="00770812"/>
    <w:rsid w:val="007B0246"/>
    <w:rsid w:val="007B45FE"/>
    <w:rsid w:val="00831FD0"/>
    <w:rsid w:val="00863AD5"/>
    <w:rsid w:val="0087339C"/>
    <w:rsid w:val="00890300"/>
    <w:rsid w:val="008F1187"/>
    <w:rsid w:val="009A2E84"/>
    <w:rsid w:val="00A1155B"/>
    <w:rsid w:val="00A3261F"/>
    <w:rsid w:val="00A741A2"/>
    <w:rsid w:val="00A77DD2"/>
    <w:rsid w:val="00AA330D"/>
    <w:rsid w:val="00AB1596"/>
    <w:rsid w:val="00AD73D7"/>
    <w:rsid w:val="00B17152"/>
    <w:rsid w:val="00B23558"/>
    <w:rsid w:val="00B36BE7"/>
    <w:rsid w:val="00B3781A"/>
    <w:rsid w:val="00B62562"/>
    <w:rsid w:val="00B6653F"/>
    <w:rsid w:val="00B66564"/>
    <w:rsid w:val="00BA1361"/>
    <w:rsid w:val="00BC4F0C"/>
    <w:rsid w:val="00BC73D3"/>
    <w:rsid w:val="00BD1D3C"/>
    <w:rsid w:val="00C15D95"/>
    <w:rsid w:val="00C74A71"/>
    <w:rsid w:val="00CC46B3"/>
    <w:rsid w:val="00CC74F3"/>
    <w:rsid w:val="00D24D05"/>
    <w:rsid w:val="00D306BD"/>
    <w:rsid w:val="00D50407"/>
    <w:rsid w:val="00DA4EFC"/>
    <w:rsid w:val="00DB5040"/>
    <w:rsid w:val="00E4577E"/>
    <w:rsid w:val="00E75C61"/>
    <w:rsid w:val="00EA387A"/>
    <w:rsid w:val="00EF6A5B"/>
    <w:rsid w:val="00F30083"/>
    <w:rsid w:val="00F61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4B80CD-EDBC-4971-9C0D-9ACD6BFF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semiHidden/>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Windows User</cp:lastModifiedBy>
  <cp:revision>2</cp:revision>
  <dcterms:created xsi:type="dcterms:W3CDTF">2020-02-22T04:39:00Z</dcterms:created>
  <dcterms:modified xsi:type="dcterms:W3CDTF">2020-02-22T04:39:00Z</dcterms:modified>
</cp:coreProperties>
</file>